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2" w:type="dxa"/>
        <w:jc w:val="center"/>
        <w:tblInd w:w="1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5529"/>
        <w:gridCol w:w="2406"/>
      </w:tblGrid>
      <w:tr w:rsidR="00185693" w:rsidRPr="0096617B" w:rsidTr="00241CBF">
        <w:trPr>
          <w:trHeight w:val="1800"/>
          <w:jc w:val="center"/>
        </w:trPr>
        <w:tc>
          <w:tcPr>
            <w:tcW w:w="2627" w:type="dxa"/>
          </w:tcPr>
          <w:p w:rsidR="00185693" w:rsidRDefault="0077090B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  <w:r>
              <w:rPr>
                <w:rFonts w:ascii="Myriad Pro" w:hAnsi="Myriad Pro"/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.2pt;margin-top:1.05pt;width:71pt;height:45.5pt;z-index:251659264;visibility:visible" o:allowoverlap="f">
                  <v:imagedata r:id="rId9" o:title=""/>
                </v:shape>
                <o:OLEObject Type="Embed" ProgID="Word.Picture.8" ShapeID="_x0000_s1028" DrawAspect="Content" ObjectID="_1472479683" r:id="rId10"/>
              </w:pict>
            </w:r>
          </w:p>
          <w:p w:rsidR="00185693" w:rsidRPr="00ED110C" w:rsidRDefault="00185693" w:rsidP="00241CBF">
            <w:pPr>
              <w:spacing w:after="0"/>
              <w:ind w:left="-70"/>
              <w:jc w:val="center"/>
              <w:rPr>
                <w:rFonts w:ascii="Myriad Pro" w:hAnsi="Myriad Pro"/>
                <w:color w:val="000000"/>
              </w:rPr>
            </w:pPr>
          </w:p>
          <w:p w:rsidR="00185693" w:rsidRPr="00ED110C" w:rsidRDefault="00185693" w:rsidP="00241CBF">
            <w:pPr>
              <w:spacing w:after="0"/>
              <w:ind w:left="131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Pr="00ED110C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</w:rPr>
            </w:pPr>
          </w:p>
          <w:p w:rsidR="00185693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Проект фінансується </w:t>
            </w:r>
          </w:p>
          <w:p w:rsidR="00185693" w:rsidRPr="004F5B5E" w:rsidRDefault="00185693" w:rsidP="00241CBF">
            <w:pPr>
              <w:spacing w:after="0"/>
              <w:ind w:left="2"/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Європейським Союзом</w:t>
            </w:r>
          </w:p>
        </w:tc>
        <w:tc>
          <w:tcPr>
            <w:tcW w:w="5529" w:type="dxa"/>
          </w:tcPr>
          <w:p w:rsidR="00185693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Спільний Проект ЄС/ПРООН</w:t>
            </w:r>
          </w:p>
          <w:p w:rsidR="00185693" w:rsidRPr="00BD397A" w:rsidRDefault="00185693" w:rsidP="00241CBF">
            <w:pPr>
              <w:spacing w:after="0"/>
              <w:jc w:val="center"/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</w:pP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 xml:space="preserve">«Місцевий розвиток, орієнтований на громаду – 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en-US"/>
              </w:rPr>
              <w:t>III</w:t>
            </w:r>
            <w:r>
              <w:rPr>
                <w:rFonts w:ascii="Myriad Pro" w:hAnsi="Myriad Pro"/>
                <w:b/>
                <w:color w:val="000000"/>
                <w:sz w:val="32"/>
                <w:szCs w:val="32"/>
                <w:lang w:val="uk-UA"/>
              </w:rPr>
              <w:t>»</w:t>
            </w: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2406" w:type="dxa"/>
          </w:tcPr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spacing w:after="0"/>
              <w:jc w:val="center"/>
              <w:rPr>
                <w:rFonts w:ascii="Myriad Pro" w:hAnsi="Myriad Pro"/>
                <w:noProof/>
                <w:color w:val="000000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</w:p>
          <w:p w:rsidR="00185693" w:rsidRPr="004F5B5E" w:rsidRDefault="00185693" w:rsidP="00241CBF">
            <w:pPr>
              <w:tabs>
                <w:tab w:val="left" w:pos="2198"/>
              </w:tabs>
              <w:spacing w:after="0"/>
              <w:ind w:right="71"/>
              <w:jc w:val="right"/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ru-RU"/>
              </w:rPr>
            </w:pPr>
            <w:r>
              <w:rPr>
                <w:noProof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6177915" y="35750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484505" cy="1233805"/>
                  <wp:effectExtent l="0" t="0" r="0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454" cy="124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yriad Pro" w:hAnsi="Myriad Pro" w:cs="Arial"/>
                <w:noProof/>
                <w:color w:val="000000"/>
                <w:sz w:val="16"/>
                <w:szCs w:val="16"/>
                <w:lang w:val="uk-UA"/>
              </w:rPr>
              <w:t>Проект спів-фінансується та впроваджується ПРООН</w:t>
            </w:r>
          </w:p>
        </w:tc>
      </w:tr>
    </w:tbl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highlight w:val="yellow"/>
          <w:lang w:val="ru-RU"/>
        </w:rPr>
      </w:pPr>
    </w:p>
    <w:p w:rsidR="00E821B8" w:rsidRPr="004B5865" w:rsidRDefault="00E821B8" w:rsidP="00E821B8">
      <w:pPr>
        <w:spacing w:after="0"/>
        <w:jc w:val="right"/>
        <w:outlineLvl w:val="0"/>
        <w:rPr>
          <w:rFonts w:ascii="Calibri" w:hAnsi="Calibri"/>
          <w:b/>
          <w:sz w:val="22"/>
          <w:szCs w:val="22"/>
          <w:lang w:val="ru-RU"/>
        </w:rPr>
      </w:pPr>
    </w:p>
    <w:p w:rsidR="0096617B" w:rsidRPr="00693FA8" w:rsidRDefault="00AA2B90" w:rsidP="00E821B8">
      <w:pPr>
        <w:spacing w:after="120"/>
        <w:jc w:val="center"/>
        <w:rPr>
          <w:rFonts w:ascii="Myriad Pro" w:hAnsi="Myriad Pro" w:cs="Arial"/>
          <w:b/>
          <w:caps/>
          <w:sz w:val="32"/>
          <w:szCs w:val="28"/>
          <w:u w:val="single"/>
          <w:lang w:val="uk-UA"/>
        </w:rPr>
      </w:pPr>
      <w:r w:rsidRPr="00693FA8">
        <w:rPr>
          <w:rFonts w:ascii="Myriad Pro" w:hAnsi="Myriad Pro" w:cs="Arial"/>
          <w:b/>
          <w:caps/>
          <w:sz w:val="32"/>
          <w:szCs w:val="28"/>
          <w:u w:val="single"/>
          <w:lang w:val="uk-UA"/>
        </w:rPr>
        <w:t>ПРЕС-РЕЛІЗ</w:t>
      </w:r>
    </w:p>
    <w:p w:rsidR="00E821B8" w:rsidRDefault="0096617B" w:rsidP="00E821B8">
      <w:pPr>
        <w:spacing w:after="120"/>
        <w:jc w:val="center"/>
        <w:rPr>
          <w:i/>
          <w:sz w:val="20"/>
          <w:lang w:val="ru-RU"/>
        </w:rPr>
      </w:pPr>
      <w:r>
        <w:rPr>
          <w:rFonts w:ascii="Myriad Pro" w:hAnsi="Myriad Pro" w:cs="Arial"/>
          <w:b/>
          <w:caps/>
          <w:sz w:val="28"/>
          <w:szCs w:val="28"/>
          <w:lang w:val="uk-UA"/>
        </w:rPr>
        <w:t>третя фаза проекту єс</w:t>
      </w:r>
      <w:r w:rsidRPr="0096617B">
        <w:rPr>
          <w:rFonts w:ascii="Myriad Pro" w:hAnsi="Myriad Pro" w:cs="Arial"/>
          <w:b/>
          <w:caps/>
          <w:sz w:val="28"/>
          <w:szCs w:val="28"/>
          <w:lang w:val="ru-RU"/>
        </w:rPr>
        <w:t>/</w:t>
      </w:r>
      <w:r>
        <w:rPr>
          <w:rFonts w:ascii="Myriad Pro" w:hAnsi="Myriad Pro" w:cs="Arial"/>
          <w:b/>
          <w:caps/>
          <w:sz w:val="28"/>
          <w:szCs w:val="28"/>
          <w:lang w:val="uk-UA"/>
        </w:rPr>
        <w:t xml:space="preserve">проон </w:t>
      </w:r>
      <w:r w:rsidR="006710D3">
        <w:rPr>
          <w:rFonts w:ascii="Myriad Pro" w:hAnsi="Myriad Pro" w:cs="Arial"/>
          <w:b/>
          <w:caps/>
          <w:sz w:val="28"/>
          <w:szCs w:val="28"/>
          <w:lang w:val="uk-UA"/>
        </w:rPr>
        <w:t>«МІСЦЕВИЙ РОЗВИТОК, ОРІЄНТОВАНИЙ НА ГРОМАДУ» УСПІШНО СТАРТУВАЛА З ХМЕЛЬНИЦЬКОЇ ОБЛАСТІ</w:t>
      </w:r>
      <w:r w:rsidR="00E821B8" w:rsidRPr="004B5865">
        <w:rPr>
          <w:i/>
          <w:sz w:val="20"/>
          <w:lang w:val="ru-RU"/>
        </w:rPr>
        <w:tab/>
      </w:r>
    </w:p>
    <w:p w:rsidR="0096617B" w:rsidRDefault="0096617B" w:rsidP="0096617B">
      <w:pPr>
        <w:spacing w:after="120"/>
        <w:jc w:val="left"/>
        <w:rPr>
          <w:i/>
          <w:sz w:val="20"/>
          <w:lang w:val="ru-RU"/>
        </w:rPr>
      </w:pPr>
    </w:p>
    <w:p w:rsidR="0096617B" w:rsidRPr="0096617B" w:rsidRDefault="0096617B" w:rsidP="0096617B">
      <w:pPr>
        <w:spacing w:after="120"/>
        <w:jc w:val="left"/>
        <w:rPr>
          <w:rFonts w:ascii="Myriad Pro" w:hAnsi="Myriad Pro" w:cs="Arial"/>
          <w:b/>
          <w:caps/>
          <w:sz w:val="32"/>
          <w:szCs w:val="28"/>
          <w:lang w:val="uk-UA"/>
        </w:rPr>
      </w:pPr>
      <w:r>
        <w:rPr>
          <w:i/>
          <w:sz w:val="20"/>
          <w:lang w:val="ru-RU"/>
        </w:rPr>
        <w:t xml:space="preserve">       </w:t>
      </w:r>
    </w:p>
    <w:p w:rsidR="00080963" w:rsidRDefault="00080963" w:rsidP="004C2DD5">
      <w:pPr>
        <w:ind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b/>
          <w:sz w:val="22"/>
          <w:szCs w:val="22"/>
          <w:lang w:val="uk-UA"/>
        </w:rPr>
        <w:t xml:space="preserve">Хмельниччина стала першим регіоном в Україні, де </w:t>
      </w:r>
      <w:r w:rsidR="00C129F7">
        <w:rPr>
          <w:rFonts w:ascii="Myriad Pro" w:hAnsi="Myriad Pro"/>
          <w:b/>
          <w:sz w:val="22"/>
          <w:szCs w:val="22"/>
          <w:lang w:val="uk-UA"/>
        </w:rPr>
        <w:t xml:space="preserve">на офіційному рівні </w:t>
      </w:r>
      <w:r>
        <w:rPr>
          <w:rFonts w:ascii="Myriad Pro" w:hAnsi="Myriad Pro"/>
          <w:b/>
          <w:sz w:val="22"/>
          <w:szCs w:val="22"/>
          <w:lang w:val="uk-UA"/>
        </w:rPr>
        <w:t xml:space="preserve">була успішно представлена </w:t>
      </w:r>
      <w:r w:rsidR="00DB4F8B" w:rsidRPr="00E02143">
        <w:rPr>
          <w:rFonts w:ascii="Myriad Pro" w:hAnsi="Myriad Pro"/>
          <w:b/>
          <w:sz w:val="22"/>
          <w:szCs w:val="22"/>
          <w:lang w:val="uk-UA"/>
        </w:rPr>
        <w:t>Т</w:t>
      </w:r>
      <w:r w:rsidR="00E821B8" w:rsidRPr="00E02143">
        <w:rPr>
          <w:rFonts w:ascii="Myriad Pro" w:hAnsi="Myriad Pro"/>
          <w:b/>
          <w:sz w:val="22"/>
          <w:szCs w:val="22"/>
          <w:lang w:val="uk-UA"/>
        </w:rPr>
        <w:t xml:space="preserve">ретя фаза спільного проекту ЄС/ПРООН «Місцевий розвиток, орієнтований на громаду» </w:t>
      </w:r>
      <w:r>
        <w:rPr>
          <w:rFonts w:ascii="Myriad Pro" w:hAnsi="Myriad Pro"/>
          <w:b/>
          <w:sz w:val="22"/>
          <w:szCs w:val="22"/>
          <w:lang w:val="uk-UA"/>
        </w:rPr>
        <w:t xml:space="preserve">(МРГ). </w:t>
      </w:r>
      <w:r w:rsidR="004C2DD5">
        <w:rPr>
          <w:rFonts w:ascii="Myriad Pro" w:hAnsi="Myriad Pro"/>
          <w:b/>
          <w:sz w:val="22"/>
          <w:szCs w:val="22"/>
          <w:lang w:val="uk-UA"/>
        </w:rPr>
        <w:t>Презентація відбулася 17 вересня під час регіонального семінару за участі  міжнародного</w:t>
      </w:r>
      <w:r w:rsidR="004C2DD5" w:rsidRPr="004C2DD5">
        <w:rPr>
          <w:rFonts w:ascii="Myriad Pro" w:hAnsi="Myriad Pro"/>
          <w:b/>
          <w:sz w:val="22"/>
          <w:szCs w:val="22"/>
          <w:lang w:val="uk-UA"/>
        </w:rPr>
        <w:t xml:space="preserve"> менеджер</w:t>
      </w:r>
      <w:r w:rsidR="004C2DD5">
        <w:rPr>
          <w:rFonts w:ascii="Myriad Pro" w:hAnsi="Myriad Pro"/>
          <w:b/>
          <w:sz w:val="22"/>
          <w:szCs w:val="22"/>
          <w:lang w:val="uk-UA"/>
        </w:rPr>
        <w:t>а</w:t>
      </w:r>
      <w:r w:rsidR="004C2DD5" w:rsidRPr="004C2DD5">
        <w:rPr>
          <w:rFonts w:ascii="Myriad Pro" w:hAnsi="Myriad Pro"/>
          <w:b/>
          <w:sz w:val="22"/>
          <w:szCs w:val="22"/>
          <w:lang w:val="uk-UA"/>
        </w:rPr>
        <w:t xml:space="preserve"> Проекту ЄС/ПРООН «Місцевий розвиток, орієнтований на громаду»  </w:t>
      </w:r>
      <w:proofErr w:type="spellStart"/>
      <w:r w:rsidR="004C2DD5" w:rsidRPr="004C2DD5">
        <w:rPr>
          <w:rFonts w:ascii="Myriad Pro" w:hAnsi="Myriad Pro"/>
          <w:b/>
          <w:i/>
          <w:sz w:val="22"/>
          <w:szCs w:val="22"/>
          <w:lang w:val="uk-UA"/>
        </w:rPr>
        <w:t>Джейсінгха</w:t>
      </w:r>
      <w:proofErr w:type="spellEnd"/>
      <w:r w:rsidR="004C2DD5" w:rsidRPr="004C2DD5">
        <w:rPr>
          <w:rFonts w:ascii="Myriad Pro" w:hAnsi="Myriad Pro"/>
          <w:b/>
          <w:i/>
          <w:sz w:val="22"/>
          <w:szCs w:val="22"/>
          <w:lang w:val="uk-UA"/>
        </w:rPr>
        <w:t xml:space="preserve"> </w:t>
      </w:r>
      <w:proofErr w:type="spellStart"/>
      <w:r w:rsidR="004C2DD5" w:rsidRPr="004C2DD5">
        <w:rPr>
          <w:rFonts w:ascii="Myriad Pro" w:hAnsi="Myriad Pro"/>
          <w:b/>
          <w:i/>
          <w:sz w:val="22"/>
          <w:szCs w:val="22"/>
          <w:lang w:val="uk-UA"/>
        </w:rPr>
        <w:t>Саха</w:t>
      </w:r>
      <w:proofErr w:type="spellEnd"/>
      <w:r w:rsidR="004C2DD5" w:rsidRPr="004C2DD5">
        <w:rPr>
          <w:rFonts w:ascii="Myriad Pro" w:hAnsi="Myriad Pro"/>
          <w:b/>
          <w:i/>
          <w:sz w:val="22"/>
          <w:szCs w:val="22"/>
          <w:lang w:val="uk-UA"/>
        </w:rPr>
        <w:t>,</w:t>
      </w:r>
      <w:r w:rsidR="004C2DD5" w:rsidRPr="004C2DD5">
        <w:rPr>
          <w:rFonts w:ascii="Myriad Pro" w:hAnsi="Myriad Pro"/>
          <w:b/>
          <w:sz w:val="22"/>
          <w:szCs w:val="22"/>
          <w:lang w:val="uk-UA"/>
        </w:rPr>
        <w:t xml:space="preserve"> спеціаліст</w:t>
      </w:r>
      <w:r w:rsidR="004C2DD5">
        <w:rPr>
          <w:rFonts w:ascii="Myriad Pro" w:hAnsi="Myriad Pro"/>
          <w:b/>
          <w:sz w:val="22"/>
          <w:szCs w:val="22"/>
          <w:lang w:val="uk-UA"/>
        </w:rPr>
        <w:t>а</w:t>
      </w:r>
      <w:r w:rsidR="004C2DD5" w:rsidRPr="004C2DD5">
        <w:rPr>
          <w:rFonts w:ascii="Myriad Pro" w:hAnsi="Myriad Pro"/>
          <w:b/>
          <w:sz w:val="22"/>
          <w:szCs w:val="22"/>
          <w:lang w:val="uk-UA"/>
        </w:rPr>
        <w:t xml:space="preserve"> з розвитку громад  Проекту ЄС/ПРООН «Місцевий розвиток</w:t>
      </w:r>
      <w:r w:rsidR="004C2DD5">
        <w:rPr>
          <w:rFonts w:ascii="Myriad Pro" w:hAnsi="Myriad Pro"/>
          <w:b/>
          <w:sz w:val="22"/>
          <w:szCs w:val="22"/>
          <w:lang w:val="uk-UA"/>
        </w:rPr>
        <w:t xml:space="preserve">, орієнтований на громаду» </w:t>
      </w:r>
      <w:r w:rsidR="004C2DD5" w:rsidRPr="004C2DD5">
        <w:rPr>
          <w:rFonts w:ascii="Myriad Pro" w:hAnsi="Myriad Pro"/>
          <w:b/>
          <w:i/>
          <w:sz w:val="22"/>
          <w:szCs w:val="22"/>
          <w:lang w:val="uk-UA"/>
        </w:rPr>
        <w:t xml:space="preserve">Олени </w:t>
      </w:r>
      <w:proofErr w:type="spellStart"/>
      <w:r w:rsidR="004C2DD5" w:rsidRPr="004C2DD5">
        <w:rPr>
          <w:rFonts w:ascii="Myriad Pro" w:hAnsi="Myriad Pro"/>
          <w:b/>
          <w:i/>
          <w:sz w:val="22"/>
          <w:szCs w:val="22"/>
          <w:lang w:val="uk-UA"/>
        </w:rPr>
        <w:t>Рудіч</w:t>
      </w:r>
      <w:proofErr w:type="spellEnd"/>
      <w:r w:rsidR="004C2DD5">
        <w:rPr>
          <w:rFonts w:ascii="Myriad Pro" w:hAnsi="Myriad Pro"/>
          <w:b/>
          <w:sz w:val="22"/>
          <w:szCs w:val="22"/>
          <w:lang w:val="uk-UA"/>
        </w:rPr>
        <w:t>, голови</w:t>
      </w:r>
      <w:r w:rsidR="004C2DD5" w:rsidRPr="004C2DD5">
        <w:rPr>
          <w:rFonts w:ascii="Myriad Pro" w:hAnsi="Myriad Pro"/>
          <w:b/>
          <w:sz w:val="22"/>
          <w:szCs w:val="22"/>
          <w:lang w:val="uk-UA"/>
        </w:rPr>
        <w:t xml:space="preserve"> Хмельницької обласної державної адміністрації </w:t>
      </w:r>
      <w:r w:rsidR="004C2DD5" w:rsidRPr="004C2DD5">
        <w:rPr>
          <w:rFonts w:ascii="Myriad Pro" w:hAnsi="Myriad Pro"/>
          <w:b/>
          <w:i/>
          <w:sz w:val="22"/>
          <w:szCs w:val="22"/>
          <w:lang w:val="uk-UA"/>
        </w:rPr>
        <w:t xml:space="preserve">Леоніда </w:t>
      </w:r>
      <w:r w:rsidR="00754A88">
        <w:rPr>
          <w:rFonts w:ascii="Myriad Pro" w:hAnsi="Myriad Pro"/>
          <w:b/>
          <w:i/>
          <w:sz w:val="22"/>
          <w:szCs w:val="22"/>
          <w:lang w:val="uk-UA"/>
        </w:rPr>
        <w:t xml:space="preserve"> </w:t>
      </w:r>
      <w:r w:rsidR="004C2DD5" w:rsidRPr="004C2DD5">
        <w:rPr>
          <w:rFonts w:ascii="Myriad Pro" w:hAnsi="Myriad Pro"/>
          <w:b/>
          <w:i/>
          <w:sz w:val="22"/>
          <w:szCs w:val="22"/>
          <w:lang w:val="uk-UA"/>
        </w:rPr>
        <w:t>Пруса,</w:t>
      </w:r>
      <w:r w:rsidR="004C2DD5">
        <w:rPr>
          <w:rFonts w:ascii="Myriad Pro" w:hAnsi="Myriad Pro"/>
          <w:b/>
          <w:sz w:val="22"/>
          <w:szCs w:val="22"/>
          <w:lang w:val="uk-UA"/>
        </w:rPr>
        <w:t xml:space="preserve"> голови</w:t>
      </w:r>
      <w:r w:rsidR="004C2DD5" w:rsidRPr="004C2DD5">
        <w:rPr>
          <w:rFonts w:ascii="Myriad Pro" w:hAnsi="Myriad Pro"/>
          <w:b/>
          <w:sz w:val="22"/>
          <w:szCs w:val="22"/>
          <w:lang w:val="uk-UA"/>
        </w:rPr>
        <w:t xml:space="preserve"> Хмельницької обласної ради </w:t>
      </w:r>
      <w:r w:rsidR="004C2DD5" w:rsidRPr="004C2DD5">
        <w:rPr>
          <w:rFonts w:ascii="Myriad Pro" w:hAnsi="Myriad Pro"/>
          <w:b/>
          <w:i/>
          <w:sz w:val="22"/>
          <w:szCs w:val="22"/>
          <w:lang w:val="uk-UA"/>
        </w:rPr>
        <w:t>Івана Гончара</w:t>
      </w:r>
      <w:r w:rsidR="004C2DD5">
        <w:rPr>
          <w:rFonts w:ascii="Myriad Pro" w:hAnsi="Myriad Pro"/>
          <w:b/>
          <w:sz w:val="22"/>
          <w:szCs w:val="22"/>
          <w:lang w:val="uk-UA"/>
        </w:rPr>
        <w:t>,  керівників</w:t>
      </w:r>
      <w:r w:rsidR="004C2DD5" w:rsidRPr="004C2DD5">
        <w:rPr>
          <w:rFonts w:ascii="Myriad Pro" w:hAnsi="Myriad Pro"/>
          <w:b/>
          <w:sz w:val="22"/>
          <w:szCs w:val="22"/>
          <w:lang w:val="uk-UA"/>
        </w:rPr>
        <w:t xml:space="preserve"> районних державних адміністрацій та рад, а також керівники міських та сільських рад.</w:t>
      </w:r>
    </w:p>
    <w:p w:rsidR="00754A88" w:rsidRDefault="00E07C1F" w:rsidP="004C2DD5">
      <w:p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Під час </w:t>
      </w:r>
      <w:r w:rsidR="00754A88">
        <w:rPr>
          <w:rFonts w:ascii="Myriad Pro" w:hAnsi="Myriad Pro"/>
          <w:sz w:val="22"/>
          <w:szCs w:val="22"/>
          <w:lang w:val="uk-UA"/>
        </w:rPr>
        <w:t xml:space="preserve">представлення Третьої фази Проекту МРГ було підписано Угоду про партнерство між Хмельницькою обласною державною адміністрацією, </w:t>
      </w:r>
      <w:r w:rsidR="00A1204A">
        <w:rPr>
          <w:rFonts w:ascii="Myriad Pro" w:hAnsi="Myriad Pro"/>
          <w:sz w:val="22"/>
          <w:szCs w:val="22"/>
          <w:lang w:val="uk-UA"/>
        </w:rPr>
        <w:t xml:space="preserve">Хмельницькою обласною радою та Програмою розвитку ООН. </w:t>
      </w:r>
      <w:r>
        <w:rPr>
          <w:rFonts w:ascii="Myriad Pro" w:hAnsi="Myriad Pro"/>
          <w:sz w:val="22"/>
          <w:szCs w:val="22"/>
          <w:lang w:val="uk-UA"/>
        </w:rPr>
        <w:t xml:space="preserve">Голова обласної ради Іван Гончар урочисто вручив міжнародному менеджеру Проекту </w:t>
      </w:r>
      <w:proofErr w:type="spellStart"/>
      <w:r>
        <w:rPr>
          <w:rFonts w:ascii="Myriad Pro" w:hAnsi="Myriad Pro"/>
          <w:sz w:val="22"/>
          <w:szCs w:val="22"/>
          <w:lang w:val="uk-UA"/>
        </w:rPr>
        <w:t>Джейсінгху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 </w:t>
      </w:r>
      <w:proofErr w:type="spellStart"/>
      <w:r>
        <w:rPr>
          <w:rFonts w:ascii="Myriad Pro" w:hAnsi="Myriad Pro"/>
          <w:sz w:val="22"/>
          <w:szCs w:val="22"/>
          <w:lang w:val="uk-UA"/>
        </w:rPr>
        <w:t>Саху</w:t>
      </w:r>
      <w:proofErr w:type="spellEnd"/>
      <w:r>
        <w:rPr>
          <w:rFonts w:ascii="Myriad Pro" w:hAnsi="Myriad Pro"/>
          <w:sz w:val="22"/>
          <w:szCs w:val="22"/>
          <w:lang w:val="uk-UA"/>
        </w:rPr>
        <w:t xml:space="preserve"> підписану керівництвом області тристоронню угоду, підписану на наступні чотири роки. </w:t>
      </w:r>
    </w:p>
    <w:p w:rsidR="006351B0" w:rsidRDefault="006351B0" w:rsidP="004C2DD5">
      <w:p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семінарі-презентації </w:t>
      </w:r>
      <w:r w:rsidRPr="006351B0">
        <w:rPr>
          <w:rFonts w:ascii="Myriad Pro" w:hAnsi="Myriad Pro"/>
          <w:sz w:val="22"/>
          <w:szCs w:val="22"/>
          <w:lang w:val="uk-UA"/>
        </w:rPr>
        <w:t xml:space="preserve">голова </w:t>
      </w:r>
      <w:r>
        <w:rPr>
          <w:rFonts w:ascii="Myriad Pro" w:hAnsi="Myriad Pro"/>
          <w:sz w:val="22"/>
          <w:szCs w:val="22"/>
          <w:lang w:val="uk-UA"/>
        </w:rPr>
        <w:t xml:space="preserve">Хмельницької </w:t>
      </w:r>
      <w:r w:rsidRPr="006351B0">
        <w:rPr>
          <w:rFonts w:ascii="Myriad Pro" w:hAnsi="Myriad Pro"/>
          <w:sz w:val="22"/>
          <w:szCs w:val="22"/>
          <w:lang w:val="uk-UA"/>
        </w:rPr>
        <w:t>облдержадм</w:t>
      </w:r>
      <w:r>
        <w:rPr>
          <w:rFonts w:ascii="Myriad Pro" w:hAnsi="Myriad Pro"/>
          <w:sz w:val="22"/>
          <w:szCs w:val="22"/>
          <w:lang w:val="uk-UA"/>
        </w:rPr>
        <w:t>іністрації Леонід Прус зазначив: “Ж</w:t>
      </w:r>
      <w:r w:rsidRPr="006351B0">
        <w:rPr>
          <w:rFonts w:ascii="Myriad Pro" w:hAnsi="Myriad Pro"/>
          <w:sz w:val="22"/>
          <w:szCs w:val="22"/>
          <w:lang w:val="uk-UA"/>
        </w:rPr>
        <w:t>иттєвий рівень і самодостатність територіальної громади визначається не тільки її природно-ресурсним потен</w:t>
      </w:r>
      <w:r>
        <w:rPr>
          <w:rFonts w:ascii="Myriad Pro" w:hAnsi="Myriad Pro"/>
          <w:sz w:val="22"/>
          <w:szCs w:val="22"/>
          <w:lang w:val="uk-UA"/>
        </w:rPr>
        <w:t>ціалом, але й людським фактором». За словами голо</w:t>
      </w:r>
      <w:r w:rsidR="00B877E3">
        <w:rPr>
          <w:rFonts w:ascii="Myriad Pro" w:hAnsi="Myriad Pro"/>
          <w:sz w:val="22"/>
          <w:szCs w:val="22"/>
          <w:lang w:val="uk-UA"/>
        </w:rPr>
        <w:t xml:space="preserve">ви Хмельницької ОДА, аби спонукати </w:t>
      </w:r>
      <w:r w:rsidRPr="006351B0">
        <w:rPr>
          <w:rFonts w:ascii="Myriad Pro" w:hAnsi="Myriad Pro"/>
          <w:sz w:val="22"/>
          <w:szCs w:val="22"/>
          <w:lang w:val="uk-UA"/>
        </w:rPr>
        <w:t xml:space="preserve"> </w:t>
      </w:r>
      <w:r w:rsidR="00B877E3">
        <w:rPr>
          <w:rFonts w:ascii="Myriad Pro" w:hAnsi="Myriad Pro"/>
          <w:sz w:val="22"/>
          <w:szCs w:val="22"/>
          <w:lang w:val="uk-UA"/>
        </w:rPr>
        <w:t>громадськість та органи</w:t>
      </w:r>
      <w:r w:rsidRPr="006351B0">
        <w:rPr>
          <w:rFonts w:ascii="Myriad Pro" w:hAnsi="Myriad Pro"/>
          <w:sz w:val="22"/>
          <w:szCs w:val="22"/>
          <w:lang w:val="uk-UA"/>
        </w:rPr>
        <w:t xml:space="preserve"> місцево</w:t>
      </w:r>
      <w:r w:rsidR="00B877E3">
        <w:rPr>
          <w:rFonts w:ascii="Myriad Pro" w:hAnsi="Myriad Pro"/>
          <w:sz w:val="22"/>
          <w:szCs w:val="22"/>
          <w:lang w:val="uk-UA"/>
        </w:rPr>
        <w:t xml:space="preserve">го самоврядування </w:t>
      </w:r>
      <w:r w:rsidRPr="006351B0">
        <w:rPr>
          <w:rFonts w:ascii="Myriad Pro" w:hAnsi="Myriad Pro"/>
          <w:sz w:val="22"/>
          <w:szCs w:val="22"/>
          <w:lang w:val="uk-UA"/>
        </w:rPr>
        <w:t>до пошуку ефективних шляхів вир</w:t>
      </w:r>
      <w:r w:rsidR="00B877E3">
        <w:rPr>
          <w:rFonts w:ascii="Myriad Pro" w:hAnsi="Myriad Pro"/>
          <w:sz w:val="22"/>
          <w:szCs w:val="22"/>
          <w:lang w:val="uk-UA"/>
        </w:rPr>
        <w:t xml:space="preserve">ішення проблем </w:t>
      </w:r>
      <w:r w:rsidRPr="006351B0">
        <w:rPr>
          <w:rFonts w:ascii="Myriad Pro" w:hAnsi="Myriad Pro"/>
          <w:sz w:val="22"/>
          <w:szCs w:val="22"/>
          <w:lang w:val="uk-UA"/>
        </w:rPr>
        <w:t>громад, пот</w:t>
      </w:r>
      <w:r w:rsidR="00B877E3">
        <w:rPr>
          <w:rFonts w:ascii="Myriad Pro" w:hAnsi="Myriad Pro"/>
          <w:sz w:val="22"/>
          <w:szCs w:val="22"/>
          <w:lang w:val="uk-UA"/>
        </w:rPr>
        <w:t xml:space="preserve">рібна мотивація до спільних дій. </w:t>
      </w:r>
      <w:r w:rsidRPr="006351B0">
        <w:rPr>
          <w:rFonts w:ascii="Myriad Pro" w:hAnsi="Myriad Pro"/>
          <w:sz w:val="22"/>
          <w:szCs w:val="22"/>
          <w:lang w:val="uk-UA"/>
        </w:rPr>
        <w:t xml:space="preserve"> </w:t>
      </w:r>
      <w:r w:rsidR="00B877E3">
        <w:rPr>
          <w:rFonts w:ascii="Myriad Pro" w:hAnsi="Myriad Pro"/>
          <w:sz w:val="22"/>
          <w:szCs w:val="22"/>
          <w:lang w:val="uk-UA"/>
        </w:rPr>
        <w:t>«Саме цьому нас сьогодні навчає  Проект МРГ», підкреслив Леонід Прус.</w:t>
      </w:r>
    </w:p>
    <w:p w:rsidR="00B877E3" w:rsidRDefault="00B877E3" w:rsidP="004C2DD5">
      <w:p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Під час вступного слова голова Хмельницької ОДА підкреслив, що «спільно буде вирішено </w:t>
      </w:r>
      <w:r w:rsidRPr="00B877E3">
        <w:rPr>
          <w:rFonts w:ascii="Myriad Pro" w:hAnsi="Myriad Pro"/>
          <w:sz w:val="22"/>
          <w:szCs w:val="22"/>
          <w:lang w:val="uk-UA"/>
        </w:rPr>
        <w:t>ще чи</w:t>
      </w:r>
      <w:r>
        <w:rPr>
          <w:rFonts w:ascii="Myriad Pro" w:hAnsi="Myriad Pro"/>
          <w:sz w:val="22"/>
          <w:szCs w:val="22"/>
          <w:lang w:val="uk-UA"/>
        </w:rPr>
        <w:t xml:space="preserve">мало соціальних проблем у </w:t>
      </w:r>
      <w:r w:rsidRPr="00B877E3">
        <w:rPr>
          <w:rFonts w:ascii="Myriad Pro" w:hAnsi="Myriad Pro"/>
          <w:sz w:val="22"/>
          <w:szCs w:val="22"/>
          <w:lang w:val="uk-UA"/>
        </w:rPr>
        <w:t>громадах</w:t>
      </w:r>
      <w:r>
        <w:rPr>
          <w:rFonts w:ascii="Myriad Pro" w:hAnsi="Myriad Pro"/>
          <w:sz w:val="22"/>
          <w:szCs w:val="22"/>
          <w:lang w:val="uk-UA"/>
        </w:rPr>
        <w:t xml:space="preserve">, що дозволить й надалі покращувати </w:t>
      </w:r>
      <w:r w:rsidRPr="00B877E3">
        <w:rPr>
          <w:rFonts w:ascii="Myriad Pro" w:hAnsi="Myriad Pro"/>
          <w:sz w:val="22"/>
          <w:szCs w:val="22"/>
          <w:lang w:val="uk-UA"/>
        </w:rPr>
        <w:t>добробут та якість ж</w:t>
      </w:r>
      <w:r>
        <w:rPr>
          <w:rFonts w:ascii="Myriad Pro" w:hAnsi="Myriad Pro"/>
          <w:sz w:val="22"/>
          <w:szCs w:val="22"/>
          <w:lang w:val="uk-UA"/>
        </w:rPr>
        <w:t>иття  багатьох мешканців</w:t>
      </w:r>
      <w:r w:rsidRPr="00B877E3">
        <w:rPr>
          <w:rFonts w:ascii="Myriad Pro" w:hAnsi="Myriad Pro"/>
          <w:sz w:val="22"/>
          <w:szCs w:val="22"/>
          <w:lang w:val="uk-UA"/>
        </w:rPr>
        <w:t xml:space="preserve"> Хмельниччини</w:t>
      </w:r>
      <w:r>
        <w:rPr>
          <w:rFonts w:ascii="Myriad Pro" w:hAnsi="Myriad Pro"/>
          <w:sz w:val="22"/>
          <w:szCs w:val="22"/>
          <w:lang w:val="uk-UA"/>
        </w:rPr>
        <w:t>»</w:t>
      </w:r>
      <w:r w:rsidRPr="00B877E3">
        <w:rPr>
          <w:rFonts w:ascii="Myriad Pro" w:hAnsi="Myriad Pro"/>
          <w:sz w:val="22"/>
          <w:szCs w:val="22"/>
          <w:lang w:val="uk-UA"/>
        </w:rPr>
        <w:t>.</w:t>
      </w:r>
    </w:p>
    <w:p w:rsidR="00BC66F6" w:rsidRDefault="00BC66F6" w:rsidP="004C2DD5">
      <w:p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«С</w:t>
      </w:r>
      <w:r w:rsidRPr="00BC66F6">
        <w:rPr>
          <w:rFonts w:ascii="Myriad Pro" w:hAnsi="Myriad Pro"/>
          <w:sz w:val="22"/>
          <w:szCs w:val="22"/>
          <w:lang w:val="uk-UA"/>
        </w:rPr>
        <w:t xml:space="preserve">ьогодні ми можемо впевнено сказати: реалізація Проекту </w:t>
      </w:r>
      <w:r>
        <w:rPr>
          <w:rFonts w:ascii="Myriad Pro" w:hAnsi="Myriad Pro"/>
          <w:sz w:val="22"/>
          <w:szCs w:val="22"/>
          <w:lang w:val="uk-UA"/>
        </w:rPr>
        <w:t xml:space="preserve">МРГ </w:t>
      </w:r>
      <w:r w:rsidRPr="00BC66F6">
        <w:rPr>
          <w:rFonts w:ascii="Myriad Pro" w:hAnsi="Myriad Pro"/>
          <w:sz w:val="22"/>
          <w:szCs w:val="22"/>
          <w:lang w:val="uk-UA"/>
        </w:rPr>
        <w:t>на Хмельниччині дала прекрасні результати, які на початку здавалися недосяжними. Під час другого етапу Прое</w:t>
      </w:r>
      <w:r>
        <w:rPr>
          <w:rFonts w:ascii="Myriad Pro" w:hAnsi="Myriad Pro"/>
          <w:sz w:val="22"/>
          <w:szCs w:val="22"/>
          <w:lang w:val="uk-UA"/>
        </w:rPr>
        <w:t xml:space="preserve">кту реалізовано п’ятдесят </w:t>
      </w:r>
      <w:proofErr w:type="spellStart"/>
      <w:r>
        <w:rPr>
          <w:rFonts w:ascii="Myriad Pro" w:hAnsi="Myriad Pro"/>
          <w:sz w:val="22"/>
          <w:szCs w:val="22"/>
          <w:lang w:val="uk-UA"/>
        </w:rPr>
        <w:t>мікро</w:t>
      </w:r>
      <w:r w:rsidRPr="00BC66F6">
        <w:rPr>
          <w:rFonts w:ascii="Myriad Pro" w:hAnsi="Myriad Pro"/>
          <w:sz w:val="22"/>
          <w:szCs w:val="22"/>
          <w:lang w:val="uk-UA"/>
        </w:rPr>
        <w:t>проектів</w:t>
      </w:r>
      <w:proofErr w:type="spellEnd"/>
      <w:r w:rsidRPr="00BC66F6">
        <w:rPr>
          <w:rFonts w:ascii="Myriad Pro" w:hAnsi="Myriad Pro"/>
          <w:sz w:val="22"/>
          <w:szCs w:val="22"/>
          <w:lang w:val="uk-UA"/>
        </w:rPr>
        <w:t xml:space="preserve"> громад на загальну суму понад 9,6 мільйонів гривень. І це завдяки, в першу чергу, самим громадам, які повірили у свої сили і у можливість змінювати своє життя на краще. Це </w:t>
      </w:r>
      <w:r>
        <w:rPr>
          <w:rFonts w:ascii="Myriad Pro" w:hAnsi="Myriad Pro"/>
          <w:sz w:val="22"/>
          <w:szCs w:val="22"/>
          <w:lang w:val="uk-UA"/>
        </w:rPr>
        <w:t xml:space="preserve"> - й</w:t>
      </w:r>
      <w:r w:rsidRPr="00BC66F6">
        <w:rPr>
          <w:rFonts w:ascii="Myriad Pro" w:hAnsi="Myriad Pro"/>
          <w:sz w:val="22"/>
          <w:szCs w:val="22"/>
          <w:lang w:val="uk-UA"/>
        </w:rPr>
        <w:t xml:space="preserve"> завдяки місцевим органам влади, які підтримали гарні ініціативи, і місцевим координаторам Проекту, які допомагали півсотні громад</w:t>
      </w:r>
      <w:r w:rsidR="007B221B">
        <w:rPr>
          <w:rFonts w:ascii="Myriad Pro" w:hAnsi="Myriad Pro"/>
          <w:sz w:val="22"/>
          <w:szCs w:val="22"/>
          <w:lang w:val="uk-UA"/>
        </w:rPr>
        <w:t xml:space="preserve">ських організацій йти до успіху», зазначив під час свого вітального слова голова Хмельницької облради Іван Гончар. </w:t>
      </w:r>
    </w:p>
    <w:p w:rsidR="00A1204A" w:rsidRDefault="00A1204A" w:rsidP="004C2DD5">
      <w:p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На регіональному семінарі було представлено План дій щодо впровадження Проекту в області. Під час представлення було також оголошено </w:t>
      </w:r>
      <w:r w:rsidR="00E75FE5">
        <w:rPr>
          <w:rFonts w:ascii="Myriad Pro" w:hAnsi="Myriad Pro"/>
          <w:sz w:val="22"/>
          <w:szCs w:val="22"/>
          <w:lang w:val="uk-UA"/>
        </w:rPr>
        <w:t xml:space="preserve">про початок конкурсного відбору районів на участь у проекті. Наразі райони матимуть змогу подати заявки на участь у Проекті до 30 вересня нинішнього року. Після цього конкурсна комісія визначить 8 районів-переможців, що братимуть участь у Третій фазі Проекту. </w:t>
      </w:r>
      <w:r w:rsidR="00BA3F8F">
        <w:rPr>
          <w:rFonts w:ascii="Myriad Pro" w:hAnsi="Myriad Pro"/>
          <w:sz w:val="22"/>
          <w:szCs w:val="22"/>
          <w:lang w:val="uk-UA"/>
        </w:rPr>
        <w:t xml:space="preserve"> Форму заявок можна завантажити за посиланням: </w:t>
      </w:r>
      <w:hyperlink r:id="rId12" w:history="1">
        <w:r w:rsidR="00BA3F8F" w:rsidRPr="00050942">
          <w:rPr>
            <w:rStyle w:val="Hyperlink"/>
            <w:rFonts w:ascii="Myriad Pro" w:hAnsi="Myriad Pro"/>
            <w:sz w:val="22"/>
            <w:szCs w:val="22"/>
            <w:lang w:val="uk-UA"/>
          </w:rPr>
          <w:t>http://www.cba.org.ua/three/ua/news/announcements/2616-application-form-for-rayons-for-partnership-with-cba</w:t>
        </w:r>
      </w:hyperlink>
      <w:r w:rsidR="00BA3F8F">
        <w:rPr>
          <w:rFonts w:ascii="Myriad Pro" w:hAnsi="Myriad Pro"/>
          <w:sz w:val="22"/>
          <w:szCs w:val="22"/>
          <w:lang w:val="uk-UA"/>
        </w:rPr>
        <w:t>.</w:t>
      </w:r>
    </w:p>
    <w:p w:rsidR="00BC66F6" w:rsidRDefault="00BC66F6" w:rsidP="004C2DD5">
      <w:pPr>
        <w:ind w:right="-28"/>
        <w:rPr>
          <w:rFonts w:ascii="Myriad Pro" w:hAnsi="Myriad Pro"/>
          <w:sz w:val="22"/>
          <w:szCs w:val="22"/>
          <w:lang w:val="uk-UA"/>
        </w:rPr>
      </w:pPr>
      <w:r w:rsidRPr="00BC66F6">
        <w:rPr>
          <w:rFonts w:ascii="Myriad Pro" w:hAnsi="Myriad Pro"/>
          <w:sz w:val="22"/>
          <w:szCs w:val="22"/>
          <w:lang w:val="uk-UA"/>
        </w:rPr>
        <w:t xml:space="preserve">Міжнародний менеджер Проекту </w:t>
      </w:r>
      <w:r w:rsidR="0083721C">
        <w:rPr>
          <w:rFonts w:ascii="Myriad Pro" w:hAnsi="Myriad Pro"/>
          <w:sz w:val="22"/>
          <w:szCs w:val="22"/>
          <w:lang w:val="uk-UA"/>
        </w:rPr>
        <w:t>МРГ Д</w:t>
      </w:r>
      <w:r w:rsidRPr="00BC66F6">
        <w:rPr>
          <w:rFonts w:ascii="Myriad Pro" w:hAnsi="Myriad Pro"/>
          <w:sz w:val="22"/>
          <w:szCs w:val="22"/>
          <w:lang w:val="uk-UA"/>
        </w:rPr>
        <w:t xml:space="preserve">октор </w:t>
      </w:r>
      <w:proofErr w:type="spellStart"/>
      <w:r w:rsidRPr="00BC66F6">
        <w:rPr>
          <w:rFonts w:ascii="Myriad Pro" w:hAnsi="Myriad Pro"/>
          <w:sz w:val="22"/>
          <w:szCs w:val="22"/>
          <w:lang w:val="uk-UA"/>
        </w:rPr>
        <w:t>Джейсінгх</w:t>
      </w:r>
      <w:proofErr w:type="spellEnd"/>
      <w:r w:rsidRPr="00BC66F6">
        <w:rPr>
          <w:rFonts w:ascii="Myriad Pro" w:hAnsi="Myriad Pro"/>
          <w:sz w:val="22"/>
          <w:szCs w:val="22"/>
          <w:lang w:val="uk-UA"/>
        </w:rPr>
        <w:t xml:space="preserve"> </w:t>
      </w:r>
      <w:proofErr w:type="spellStart"/>
      <w:r w:rsidRPr="00BC66F6">
        <w:rPr>
          <w:rFonts w:ascii="Myriad Pro" w:hAnsi="Myriad Pro"/>
          <w:sz w:val="22"/>
          <w:szCs w:val="22"/>
          <w:lang w:val="uk-UA"/>
        </w:rPr>
        <w:t>Сах</w:t>
      </w:r>
      <w:proofErr w:type="spellEnd"/>
      <w:r w:rsidRPr="00BC66F6">
        <w:rPr>
          <w:rFonts w:ascii="Myriad Pro" w:hAnsi="Myriad Pro"/>
          <w:sz w:val="22"/>
          <w:szCs w:val="22"/>
          <w:lang w:val="uk-UA"/>
        </w:rPr>
        <w:t xml:space="preserve"> поінформував присутніх, що під час третьої фази Проекту буде надано підтримку місцевим органам влади щодо поширення кращих практик та досвіду із спільного планування та подальшого поширення підходу, орієнтованого на громаду в Хмельницькій  області. Діяльність Проекту буде спрямовано на відновлення базової соціальної та комунальної інфраструктури у таких пріоритетних сферах діяльності громад, як енергоефективність, охорона здоров’я, охорона навколишнього середовища, водопостачання, розвиток малого аграрного бізнесу.</w:t>
      </w:r>
      <w:r w:rsidR="0083721C">
        <w:rPr>
          <w:rFonts w:ascii="Myriad Pro" w:hAnsi="Myriad Pro"/>
          <w:sz w:val="22"/>
          <w:szCs w:val="22"/>
          <w:lang w:val="uk-UA"/>
        </w:rPr>
        <w:t xml:space="preserve"> </w:t>
      </w:r>
      <w:r w:rsidR="0083721C" w:rsidRPr="0083721C">
        <w:rPr>
          <w:rFonts w:ascii="Myriad Pro" w:hAnsi="Myriad Pro"/>
          <w:sz w:val="22"/>
          <w:szCs w:val="22"/>
          <w:lang w:val="uk-UA"/>
        </w:rPr>
        <w:t>Проект надаватиме підтримку Уряду України у впровадженні реформ з децентралізації та поширенні інноваційних підходів щодо спільного планування та сприяння сталому соціально-економічному розвитку на місцевому рівні через центри управління знаннями та впровадження курсу в навчальні програми двадцяти університетів.</w:t>
      </w:r>
    </w:p>
    <w:p w:rsidR="00D96EA1" w:rsidRDefault="00D96EA1" w:rsidP="004C2DD5">
      <w:p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>У</w:t>
      </w:r>
      <w:r w:rsidRPr="00D96EA1">
        <w:rPr>
          <w:rFonts w:ascii="Myriad Pro" w:hAnsi="Myriad Pro"/>
          <w:sz w:val="22"/>
          <w:szCs w:val="22"/>
          <w:lang w:val="uk-UA"/>
        </w:rPr>
        <w:t>часники</w:t>
      </w:r>
      <w:r>
        <w:rPr>
          <w:rFonts w:ascii="Myriad Pro" w:hAnsi="Myriad Pro"/>
          <w:sz w:val="22"/>
          <w:szCs w:val="22"/>
          <w:lang w:val="uk-UA"/>
        </w:rPr>
        <w:t xml:space="preserve"> регіонального</w:t>
      </w:r>
      <w:r w:rsidRPr="00D96EA1">
        <w:rPr>
          <w:rFonts w:ascii="Myriad Pro" w:hAnsi="Myriad Pro"/>
          <w:sz w:val="22"/>
          <w:szCs w:val="22"/>
          <w:lang w:val="uk-UA"/>
        </w:rPr>
        <w:t xml:space="preserve"> семінару</w:t>
      </w:r>
      <w:r>
        <w:rPr>
          <w:rFonts w:ascii="Myriad Pro" w:hAnsi="Myriad Pro"/>
          <w:sz w:val="22"/>
          <w:szCs w:val="22"/>
          <w:lang w:val="uk-UA"/>
        </w:rPr>
        <w:t xml:space="preserve"> в Хмельницькій області особливо зацікавилися можливістю</w:t>
      </w:r>
      <w:r w:rsidRPr="00D96EA1">
        <w:rPr>
          <w:rFonts w:ascii="Myriad Pro" w:hAnsi="Myriad Pro"/>
          <w:sz w:val="22"/>
          <w:szCs w:val="22"/>
          <w:lang w:val="uk-UA"/>
        </w:rPr>
        <w:t xml:space="preserve"> підтримки сільськогосподарських кооперативів. Представники районів схвально відгукнулися та позитивно підтримали ініціативу міжнародних організаторів щодо підтримки саме сільських територій.</w:t>
      </w:r>
    </w:p>
    <w:p w:rsidR="00080963" w:rsidRDefault="00E73E23" w:rsidP="00E73E23">
      <w:pPr>
        <w:ind w:right="-28"/>
        <w:rPr>
          <w:rFonts w:ascii="Myriad Pro" w:hAnsi="Myriad Pro"/>
          <w:sz w:val="22"/>
          <w:szCs w:val="22"/>
          <w:lang w:val="uk-UA"/>
        </w:rPr>
      </w:pPr>
      <w:bookmarkStart w:id="0" w:name="_GoBack"/>
      <w:bookmarkEnd w:id="0"/>
      <w:r>
        <w:rPr>
          <w:rFonts w:ascii="Myriad Pro" w:hAnsi="Myriad Pro"/>
          <w:sz w:val="22"/>
          <w:szCs w:val="22"/>
          <w:lang w:val="uk-UA"/>
        </w:rPr>
        <w:t>Нагадуємо, що п</w:t>
      </w:r>
      <w:r w:rsidRPr="00E73E23">
        <w:rPr>
          <w:rFonts w:ascii="Myriad Pro" w:hAnsi="Myriad Pro"/>
          <w:sz w:val="22"/>
          <w:szCs w:val="22"/>
          <w:lang w:val="uk-UA"/>
        </w:rPr>
        <w:t xml:space="preserve">роцес впровадження першої фази Проекту МРГ в Хмельницькій області розпочався в травні 2008 року.  Згодом  в Хмельницькій області успішно розпочалася друга фаза Проекту в липні 2011 року. Протягом двох фаз Проекту МРГ усього  понад 40 тисяч чоловіків, жінок та дітей Хмельницької області покращили умови свого життя через реалізацію </w:t>
      </w:r>
      <w:proofErr w:type="spellStart"/>
      <w:r w:rsidRPr="00E73E23">
        <w:rPr>
          <w:rFonts w:ascii="Myriad Pro" w:hAnsi="Myriad Pro"/>
          <w:sz w:val="22"/>
          <w:szCs w:val="22"/>
          <w:lang w:val="uk-UA"/>
        </w:rPr>
        <w:t>мікропроектів</w:t>
      </w:r>
      <w:proofErr w:type="spellEnd"/>
      <w:r w:rsidRPr="00E73E23">
        <w:rPr>
          <w:rFonts w:ascii="Myriad Pro" w:hAnsi="Myriad Pro"/>
          <w:sz w:val="22"/>
          <w:szCs w:val="22"/>
          <w:lang w:val="uk-UA"/>
        </w:rPr>
        <w:t xml:space="preserve"> щодо відновлення 67 дитячих садків та шкіл, 12 медичних пунктів, 8 доступу до якісної води, 5 шкільних автобусів, 8 енергозберігаючого  вуличного освітлення.  Дані місцеві ініціативи були успішно реалізовані завдяки об’єднанню зусиль мешканців сіл, місцевої, районної та обласної влади, Проекту МРГ та приватних спонсорів.</w:t>
      </w:r>
    </w:p>
    <w:p w:rsidR="00B31004" w:rsidRPr="00E73E23" w:rsidRDefault="00B31004" w:rsidP="00E73E23">
      <w:pPr>
        <w:ind w:right="-28"/>
        <w:rPr>
          <w:rFonts w:ascii="Myriad Pro" w:hAnsi="Myriad Pro"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Основною метою впровадження Третьої фази Проекту МРГ є те, що місцеві громади та місцева влада будуть готові до повномасштабного впровадження підходу до розвитку, орієнтованого на громаду. </w:t>
      </w:r>
    </w:p>
    <w:p w:rsidR="00124BEE" w:rsidRPr="00B11E11" w:rsidRDefault="00EF4647" w:rsidP="00B11E11">
      <w:pPr>
        <w:ind w:right="-28"/>
        <w:rPr>
          <w:rFonts w:ascii="Myriad Pro" w:hAnsi="Myriad Pro"/>
          <w:b/>
          <w:sz w:val="22"/>
          <w:szCs w:val="22"/>
          <w:lang w:val="uk-UA"/>
        </w:rPr>
      </w:pPr>
      <w:r>
        <w:rPr>
          <w:rFonts w:ascii="Myriad Pro" w:hAnsi="Myriad Pro"/>
          <w:sz w:val="22"/>
          <w:szCs w:val="22"/>
          <w:lang w:val="uk-UA"/>
        </w:rPr>
        <w:t xml:space="preserve">Третя фаза </w:t>
      </w:r>
      <w:r w:rsidR="00F5248A">
        <w:rPr>
          <w:rFonts w:ascii="Myriad Pro" w:hAnsi="Myriad Pro"/>
          <w:sz w:val="22"/>
          <w:szCs w:val="22"/>
          <w:lang w:val="uk-UA"/>
        </w:rPr>
        <w:t>Проект</w:t>
      </w:r>
      <w:r>
        <w:rPr>
          <w:rFonts w:ascii="Myriad Pro" w:hAnsi="Myriad Pro"/>
          <w:sz w:val="22"/>
          <w:szCs w:val="22"/>
          <w:lang w:val="uk-UA"/>
        </w:rPr>
        <w:t>у МРГ впроваджуватиметься</w:t>
      </w:r>
      <w:r w:rsidR="00F5248A">
        <w:rPr>
          <w:rFonts w:ascii="Myriad Pro" w:hAnsi="Myriad Pro"/>
          <w:sz w:val="22"/>
          <w:szCs w:val="22"/>
          <w:lang w:val="uk-UA"/>
        </w:rPr>
        <w:t xml:space="preserve"> протягом</w:t>
      </w:r>
      <w:r w:rsidR="00AE42B7">
        <w:rPr>
          <w:rFonts w:ascii="Myriad Pro" w:hAnsi="Myriad Pro"/>
          <w:sz w:val="22"/>
          <w:szCs w:val="22"/>
          <w:lang w:val="uk-UA"/>
        </w:rPr>
        <w:t xml:space="preserve"> 2014-2018</w:t>
      </w:r>
      <w:r w:rsidR="00BD631F">
        <w:rPr>
          <w:rFonts w:ascii="Myriad Pro" w:hAnsi="Myriad Pro"/>
          <w:sz w:val="22"/>
          <w:szCs w:val="22"/>
          <w:lang w:val="uk-UA"/>
        </w:rPr>
        <w:t xml:space="preserve"> років</w:t>
      </w:r>
      <w:r w:rsidR="00F5248A">
        <w:rPr>
          <w:rFonts w:ascii="Myriad Pro" w:hAnsi="Myriad Pro"/>
          <w:sz w:val="22"/>
          <w:szCs w:val="22"/>
          <w:lang w:val="uk-UA"/>
        </w:rPr>
        <w:t xml:space="preserve"> із загальним бюджетом 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23.8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, </w:t>
      </w:r>
      <w:r w:rsidR="00BD631F">
        <w:rPr>
          <w:rFonts w:ascii="Myriad Pro" w:hAnsi="Myriad Pro"/>
          <w:sz w:val="22"/>
          <w:szCs w:val="22"/>
          <w:lang w:val="uk-UA"/>
        </w:rPr>
        <w:t>наданих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Європейським Союзом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(23 </w:t>
      </w:r>
      <w:r w:rsidR="00F5248A">
        <w:rPr>
          <w:rFonts w:ascii="Myriad Pro" w:hAnsi="Myriad Pro"/>
          <w:sz w:val="22"/>
          <w:szCs w:val="22"/>
          <w:lang w:val="uk-UA"/>
        </w:rPr>
        <w:t>млн</w:t>
      </w:r>
      <w:r w:rsidR="00BD631F">
        <w:rPr>
          <w:rFonts w:ascii="Myriad Pro" w:hAnsi="Myriad Pro"/>
          <w:sz w:val="22"/>
          <w:szCs w:val="22"/>
          <w:lang w:val="uk-UA"/>
        </w:rPr>
        <w:t>.</w:t>
      </w:r>
      <w:r w:rsidR="00F5248A">
        <w:rPr>
          <w:rFonts w:ascii="Myriad Pro" w:hAnsi="Myriad Pro"/>
          <w:sz w:val="22"/>
          <w:szCs w:val="22"/>
          <w:lang w:val="uk-UA"/>
        </w:rPr>
        <w:t xml:space="preserve"> 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 </w:t>
      </w:r>
      <w:r w:rsidR="00F5248A">
        <w:rPr>
          <w:rFonts w:ascii="Myriad Pro" w:hAnsi="Myriad Pro"/>
          <w:sz w:val="22"/>
          <w:szCs w:val="22"/>
          <w:lang w:val="uk-UA"/>
        </w:rPr>
        <w:t>та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</w:t>
      </w:r>
      <w:r w:rsidR="00F5248A">
        <w:rPr>
          <w:rFonts w:ascii="Myriad Pro" w:hAnsi="Myriad Pro"/>
          <w:sz w:val="22"/>
          <w:szCs w:val="22"/>
          <w:lang w:val="uk-UA"/>
        </w:rPr>
        <w:t>ПРООН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 (800,000 </w:t>
      </w:r>
      <w:r w:rsidR="00F5248A">
        <w:rPr>
          <w:rFonts w:ascii="Myriad Pro" w:hAnsi="Myriad Pro"/>
          <w:sz w:val="22"/>
          <w:szCs w:val="22"/>
          <w:lang w:val="uk-UA"/>
        </w:rPr>
        <w:t>євро</w:t>
      </w:r>
      <w:r w:rsidR="00F5248A" w:rsidRPr="00333757">
        <w:rPr>
          <w:rFonts w:ascii="Myriad Pro" w:hAnsi="Myriad Pro"/>
          <w:sz w:val="22"/>
          <w:szCs w:val="22"/>
          <w:lang w:val="uk-UA"/>
        </w:rPr>
        <w:t xml:space="preserve">). </w:t>
      </w:r>
      <w:r w:rsidR="00F9614E">
        <w:rPr>
          <w:rFonts w:ascii="Myriad Pro" w:hAnsi="Myriad Pro"/>
          <w:sz w:val="22"/>
          <w:szCs w:val="22"/>
          <w:lang w:val="uk-UA"/>
        </w:rPr>
        <w:t xml:space="preserve"> </w:t>
      </w:r>
      <w:r w:rsidR="002D0A62">
        <w:rPr>
          <w:rFonts w:ascii="Myriad Pro" w:hAnsi="Myriad Pro"/>
          <w:sz w:val="22"/>
          <w:szCs w:val="22"/>
          <w:lang w:val="uk-UA"/>
        </w:rPr>
        <w:t>Мета Проекту - сприяння</w:t>
      </w:r>
      <w:r w:rsidR="00F5248A">
        <w:rPr>
          <w:rFonts w:ascii="Myriad Pro" w:hAnsi="Myriad Pro"/>
          <w:sz w:val="22"/>
          <w:szCs w:val="22"/>
          <w:lang w:val="uk-UA"/>
        </w:rPr>
        <w:t xml:space="preserve"> сталому соціально-економічному розвитку на місцевому рівні шляхом зміцнення спільного управління та заохочення громадських ініціатив по всій Україні</w:t>
      </w:r>
      <w:r w:rsidR="004765DB" w:rsidRPr="004765DB">
        <w:rPr>
          <w:rStyle w:val="FootnoteReference"/>
          <w:rFonts w:ascii="Myriad Pro" w:hAnsi="Myriad Pro"/>
          <w:sz w:val="8"/>
          <w:szCs w:val="22"/>
          <w:lang w:val="uk-UA"/>
        </w:rPr>
        <w:footnoteReference w:id="1"/>
      </w:r>
      <w:r w:rsidR="00F5248A">
        <w:rPr>
          <w:rFonts w:ascii="Myriad Pro" w:hAnsi="Myriad Pro"/>
          <w:sz w:val="22"/>
          <w:szCs w:val="22"/>
          <w:lang w:val="uk-UA"/>
        </w:rPr>
        <w:t xml:space="preserve">. </w:t>
      </w:r>
    </w:p>
    <w:p w:rsidR="00E821B8" w:rsidRPr="00406F77" w:rsidRDefault="00E821B8" w:rsidP="00E821B8">
      <w:pPr>
        <w:ind w:left="426" w:right="-28"/>
        <w:rPr>
          <w:rFonts w:ascii="Myriad Pro" w:hAnsi="Myriad Pro"/>
          <w:sz w:val="22"/>
          <w:szCs w:val="22"/>
          <w:lang w:val="ru-RU"/>
        </w:rPr>
      </w:pPr>
    </w:p>
    <w:p w:rsidR="00E821B8" w:rsidRPr="00406F77" w:rsidRDefault="00E821B8" w:rsidP="00E821B8">
      <w:pPr>
        <w:rPr>
          <w:lang w:val="ru-RU"/>
        </w:rPr>
      </w:pPr>
    </w:p>
    <w:p w:rsidR="009665C3" w:rsidRPr="00E821B8" w:rsidRDefault="009665C3" w:rsidP="00E821B8">
      <w:pPr>
        <w:tabs>
          <w:tab w:val="left" w:pos="3927"/>
          <w:tab w:val="left" w:pos="5423"/>
        </w:tabs>
        <w:spacing w:after="0"/>
        <w:rPr>
          <w:lang w:val="uk-UA"/>
        </w:rPr>
      </w:pPr>
    </w:p>
    <w:sectPr w:rsidR="009665C3" w:rsidRPr="00E821B8" w:rsidSect="004765DB">
      <w:pgSz w:w="11906" w:h="16838"/>
      <w:pgMar w:top="851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AC" w:rsidRDefault="003525AC" w:rsidP="00E821B8">
      <w:pPr>
        <w:spacing w:after="0"/>
      </w:pPr>
      <w:r>
        <w:separator/>
      </w:r>
    </w:p>
  </w:endnote>
  <w:endnote w:type="continuationSeparator" w:id="0">
    <w:p w:rsidR="003525AC" w:rsidRDefault="003525AC" w:rsidP="00E821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AC" w:rsidRDefault="003525AC" w:rsidP="00E821B8">
      <w:pPr>
        <w:spacing w:after="0"/>
      </w:pPr>
      <w:r>
        <w:separator/>
      </w:r>
    </w:p>
  </w:footnote>
  <w:footnote w:type="continuationSeparator" w:id="0">
    <w:p w:rsidR="003525AC" w:rsidRDefault="003525AC" w:rsidP="00E821B8">
      <w:pPr>
        <w:spacing w:after="0"/>
      </w:pPr>
      <w:r>
        <w:continuationSeparator/>
      </w:r>
    </w:p>
  </w:footnote>
  <w:footnote w:id="1">
    <w:p w:rsidR="004765DB" w:rsidRPr="000E180D" w:rsidRDefault="004765DB" w:rsidP="004765DB">
      <w:pPr>
        <w:pStyle w:val="FootnoteText"/>
        <w:rPr>
          <w:lang w:val="uk-UA"/>
        </w:rPr>
      </w:pPr>
      <w:r w:rsidRPr="004765DB">
        <w:rPr>
          <w:rStyle w:val="FootnoteReference"/>
          <w:sz w:val="8"/>
        </w:rPr>
        <w:footnoteRef/>
      </w:r>
      <w:r>
        <w:t xml:space="preserve"> </w:t>
      </w:r>
    </w:p>
    <w:tbl>
      <w:tblPr>
        <w:tblW w:w="10490" w:type="dxa"/>
        <w:tblInd w:w="108" w:type="dxa"/>
        <w:tblLook w:val="01E0" w:firstRow="1" w:lastRow="1" w:firstColumn="1" w:lastColumn="1" w:noHBand="0" w:noVBand="0"/>
      </w:tblPr>
      <w:tblGrid>
        <w:gridCol w:w="4678"/>
        <w:gridCol w:w="5812"/>
      </w:tblGrid>
      <w:tr w:rsidR="004765DB" w:rsidRPr="0096617B" w:rsidTr="00185693">
        <w:tc>
          <w:tcPr>
            <w:tcW w:w="4678" w:type="dxa"/>
          </w:tcPr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фінансується Європейським Союзом</w:t>
            </w:r>
            <w:r w:rsidRPr="000E180D"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 xml:space="preserve"> </w:t>
            </w:r>
          </w:p>
          <w:p w:rsidR="004765DB" w:rsidRPr="000E180D" w:rsidRDefault="004765DB" w:rsidP="005F4383">
            <w:pPr>
              <w:pStyle w:val="BodyText3"/>
              <w:ind w:right="11"/>
              <w:jc w:val="left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4765DB" w:rsidRPr="00E821B8" w:rsidRDefault="004765DB" w:rsidP="005F4383">
            <w:pPr>
              <w:pStyle w:val="Footer"/>
              <w:tabs>
                <w:tab w:val="left" w:pos="4530"/>
              </w:tabs>
              <w:ind w:right="11"/>
              <w:jc w:val="both"/>
              <w:rPr>
                <w:sz w:val="16"/>
                <w:szCs w:val="16"/>
                <w:lang w:val="uk-UA"/>
              </w:rPr>
            </w:pPr>
            <w:r>
              <w:rPr>
                <w:rFonts w:ascii="Myriad Pro" w:hAnsi="Myriad Pro" w:cs="Arial"/>
                <w:sz w:val="16"/>
                <w:szCs w:val="16"/>
                <w:lang w:val="uk-UA"/>
              </w:rPr>
              <w:t>Європейський Союз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складається з </w:t>
            </w:r>
            <w:r w:rsidRPr="000E180D"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28 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країн-членів, які вирішили поетапно об’єднати разом свої інновації, ресурси і долі. Спільно, протягом </w:t>
            </w:r>
            <w:r w:rsidRPr="00E821B8">
              <w:rPr>
                <w:rFonts w:ascii="Myriad Pro" w:hAnsi="Myriad Pro" w:cs="Arial"/>
                <w:sz w:val="16"/>
                <w:szCs w:val="16"/>
                <w:lang w:val="uk-UA"/>
              </w:rPr>
              <w:t>50</w:t>
            </w:r>
            <w:r>
              <w:rPr>
                <w:rFonts w:ascii="Myriad Pro" w:hAnsi="Myriad Pro" w:cs="Arial"/>
                <w:sz w:val="16"/>
                <w:szCs w:val="16"/>
                <w:lang w:val="uk-UA"/>
              </w:rPr>
              <w:t xml:space="preserve">- річного періоду розширення, вони побудували зону стабільності, демократії і поступального розвитку, підтримуючи культурну різноманітність, толерантність та індивідуальні свободи. </w:t>
            </w:r>
          </w:p>
        </w:tc>
        <w:tc>
          <w:tcPr>
            <w:tcW w:w="5812" w:type="dxa"/>
          </w:tcPr>
          <w:p w:rsidR="004765DB" w:rsidRPr="00E821B8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jc w:val="left"/>
              <w:rPr>
                <w:rFonts w:ascii="Myriad Pro" w:hAnsi="Myriad Pro" w:cs="Arial"/>
                <w:b/>
                <w:sz w:val="16"/>
                <w:szCs w:val="16"/>
                <w:lang w:val="ru-RU"/>
              </w:rPr>
            </w:pPr>
            <w:r>
              <w:rPr>
                <w:rFonts w:ascii="Myriad Pro" w:hAnsi="Myriad Pro" w:cs="Arial"/>
                <w:b/>
                <w:sz w:val="16"/>
                <w:szCs w:val="16"/>
                <w:lang w:val="uk-UA"/>
              </w:rPr>
              <w:t>Проект спів фінансується та впроваджується ПРООН</w:t>
            </w:r>
          </w:p>
          <w:p w:rsidR="004765DB" w:rsidRPr="00BD3FAF" w:rsidRDefault="004765DB" w:rsidP="005F4383">
            <w:pPr>
              <w:tabs>
                <w:tab w:val="left" w:pos="5521"/>
              </w:tabs>
              <w:autoSpaceDE w:val="0"/>
              <w:autoSpaceDN w:val="0"/>
              <w:adjustRightInd w:val="0"/>
              <w:ind w:right="238"/>
              <w:rPr>
                <w:rFonts w:ascii="Myriad Pro" w:hAnsi="Myriad Pro" w:cs="Arial"/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Програма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Розвитку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Організації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Об</w:t>
            </w:r>
            <w:r w:rsidRPr="00ED4E2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’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єднаних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Націй</w:t>
            </w:r>
            <w:proofErr w:type="spellEnd"/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 xml:space="preserve"> (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ПРООН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ru-RU"/>
              </w:rPr>
              <w:t>)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є глобальною </w:t>
            </w:r>
            <w:proofErr w:type="spell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мережою</w:t>
            </w:r>
            <w:proofErr w:type="spell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 ООН в галузі розвитку, організацією, яка виступає за позитивні зміни та надає країнам доступ до джерел знань, досвіду та ресурсів задля допомоги людям в усьому </w:t>
            </w:r>
            <w:proofErr w:type="gramStart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св</w:t>
            </w:r>
            <w:proofErr w:type="gramEnd"/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іті будувати краще життя. ПРООН співпрацює з понад </w:t>
            </w:r>
            <w:r w:rsidRPr="00BD3FAF"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 xml:space="preserve">170 </w:t>
            </w:r>
            <w:r>
              <w:rPr>
                <w:rFonts w:ascii="Myriad Pro" w:hAnsi="Myriad Pro" w:cs="Arial"/>
                <w:color w:val="000000"/>
                <w:sz w:val="16"/>
                <w:szCs w:val="16"/>
                <w:lang w:val="uk-UA"/>
              </w:rPr>
              <w:t>країнами світу, допомагаючи їм знаходити власні шляхи розв’язання глобальних та національних проблем в галузі людського розвитку.</w:t>
            </w:r>
          </w:p>
        </w:tc>
      </w:tr>
    </w:tbl>
    <w:p w:rsidR="004765DB" w:rsidRPr="000E180D" w:rsidRDefault="004765DB" w:rsidP="004765DB">
      <w:pPr>
        <w:pStyle w:val="FootnoteText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CBA"/>
    <w:multiLevelType w:val="hybridMultilevel"/>
    <w:tmpl w:val="D3A02F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73060"/>
    <w:multiLevelType w:val="hybridMultilevel"/>
    <w:tmpl w:val="161EC6C2"/>
    <w:lvl w:ilvl="0" w:tplc="042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736438F"/>
    <w:multiLevelType w:val="hybridMultilevel"/>
    <w:tmpl w:val="342CE3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7C"/>
    <w:rsid w:val="000123DA"/>
    <w:rsid w:val="00042B6B"/>
    <w:rsid w:val="00043DE3"/>
    <w:rsid w:val="00080963"/>
    <w:rsid w:val="000D3666"/>
    <w:rsid w:val="000E180D"/>
    <w:rsid w:val="000E2E6D"/>
    <w:rsid w:val="0010729F"/>
    <w:rsid w:val="001174F5"/>
    <w:rsid w:val="00124BEE"/>
    <w:rsid w:val="00137512"/>
    <w:rsid w:val="001528E4"/>
    <w:rsid w:val="00182458"/>
    <w:rsid w:val="00185693"/>
    <w:rsid w:val="001A1D17"/>
    <w:rsid w:val="001B3431"/>
    <w:rsid w:val="001B6D53"/>
    <w:rsid w:val="0022663D"/>
    <w:rsid w:val="00226E7D"/>
    <w:rsid w:val="00274BFE"/>
    <w:rsid w:val="002C15DC"/>
    <w:rsid w:val="002D0171"/>
    <w:rsid w:val="002D0A62"/>
    <w:rsid w:val="00313358"/>
    <w:rsid w:val="00315DB5"/>
    <w:rsid w:val="003525AC"/>
    <w:rsid w:val="0036341F"/>
    <w:rsid w:val="0037738E"/>
    <w:rsid w:val="0037795B"/>
    <w:rsid w:val="003D054B"/>
    <w:rsid w:val="003E4B86"/>
    <w:rsid w:val="00406F77"/>
    <w:rsid w:val="00422812"/>
    <w:rsid w:val="00425D59"/>
    <w:rsid w:val="004308FC"/>
    <w:rsid w:val="004765DB"/>
    <w:rsid w:val="00484649"/>
    <w:rsid w:val="0049011C"/>
    <w:rsid w:val="004C2DD5"/>
    <w:rsid w:val="00502333"/>
    <w:rsid w:val="00506BFA"/>
    <w:rsid w:val="00507FAF"/>
    <w:rsid w:val="00515FCE"/>
    <w:rsid w:val="00557599"/>
    <w:rsid w:val="005A3CF6"/>
    <w:rsid w:val="005A607C"/>
    <w:rsid w:val="006351B0"/>
    <w:rsid w:val="006710D3"/>
    <w:rsid w:val="006731B9"/>
    <w:rsid w:val="00693FA8"/>
    <w:rsid w:val="006D1657"/>
    <w:rsid w:val="00720B44"/>
    <w:rsid w:val="00741961"/>
    <w:rsid w:val="00754A88"/>
    <w:rsid w:val="0077090B"/>
    <w:rsid w:val="00772353"/>
    <w:rsid w:val="00780FD2"/>
    <w:rsid w:val="00781E37"/>
    <w:rsid w:val="007A23DB"/>
    <w:rsid w:val="007B221B"/>
    <w:rsid w:val="007B368F"/>
    <w:rsid w:val="007C5C9B"/>
    <w:rsid w:val="007C633D"/>
    <w:rsid w:val="007E0674"/>
    <w:rsid w:val="007E45E6"/>
    <w:rsid w:val="0080196C"/>
    <w:rsid w:val="0081750C"/>
    <w:rsid w:val="00830FB7"/>
    <w:rsid w:val="0083721C"/>
    <w:rsid w:val="00887F75"/>
    <w:rsid w:val="008C5B3A"/>
    <w:rsid w:val="008C6093"/>
    <w:rsid w:val="0091403D"/>
    <w:rsid w:val="00936F35"/>
    <w:rsid w:val="0093729B"/>
    <w:rsid w:val="0096617B"/>
    <w:rsid w:val="009665C3"/>
    <w:rsid w:val="00981964"/>
    <w:rsid w:val="00982980"/>
    <w:rsid w:val="009B1F9A"/>
    <w:rsid w:val="009E121A"/>
    <w:rsid w:val="009E3DC7"/>
    <w:rsid w:val="00A07AE0"/>
    <w:rsid w:val="00A1204A"/>
    <w:rsid w:val="00AA2B90"/>
    <w:rsid w:val="00AE42B7"/>
    <w:rsid w:val="00AF2910"/>
    <w:rsid w:val="00AF382B"/>
    <w:rsid w:val="00B01D6B"/>
    <w:rsid w:val="00B11E11"/>
    <w:rsid w:val="00B31004"/>
    <w:rsid w:val="00B53B82"/>
    <w:rsid w:val="00B609FD"/>
    <w:rsid w:val="00B74AF0"/>
    <w:rsid w:val="00B877E3"/>
    <w:rsid w:val="00BA3F8F"/>
    <w:rsid w:val="00BB123B"/>
    <w:rsid w:val="00BC66F6"/>
    <w:rsid w:val="00BD397A"/>
    <w:rsid w:val="00BD3FAF"/>
    <w:rsid w:val="00BD4043"/>
    <w:rsid w:val="00BD631F"/>
    <w:rsid w:val="00C03718"/>
    <w:rsid w:val="00C12466"/>
    <w:rsid w:val="00C129F7"/>
    <w:rsid w:val="00C836D2"/>
    <w:rsid w:val="00CA4D20"/>
    <w:rsid w:val="00CD72F0"/>
    <w:rsid w:val="00CF3262"/>
    <w:rsid w:val="00CF5599"/>
    <w:rsid w:val="00CF56A8"/>
    <w:rsid w:val="00D51E61"/>
    <w:rsid w:val="00D82545"/>
    <w:rsid w:val="00D96EA1"/>
    <w:rsid w:val="00DA5F1C"/>
    <w:rsid w:val="00DB4F8B"/>
    <w:rsid w:val="00DE7D5A"/>
    <w:rsid w:val="00E02143"/>
    <w:rsid w:val="00E049A2"/>
    <w:rsid w:val="00E07C1F"/>
    <w:rsid w:val="00E73E23"/>
    <w:rsid w:val="00E75CE0"/>
    <w:rsid w:val="00E75FE5"/>
    <w:rsid w:val="00E821B8"/>
    <w:rsid w:val="00E867FB"/>
    <w:rsid w:val="00E87049"/>
    <w:rsid w:val="00E873B7"/>
    <w:rsid w:val="00E977F3"/>
    <w:rsid w:val="00EC6A78"/>
    <w:rsid w:val="00ED401E"/>
    <w:rsid w:val="00ED4E2F"/>
    <w:rsid w:val="00EF4647"/>
    <w:rsid w:val="00F02319"/>
    <w:rsid w:val="00F0375B"/>
    <w:rsid w:val="00F345E7"/>
    <w:rsid w:val="00F5248A"/>
    <w:rsid w:val="00F67128"/>
    <w:rsid w:val="00F95993"/>
    <w:rsid w:val="00F9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48A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A60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A607C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uiPriority w:val="99"/>
    <w:unhideWhenUsed/>
    <w:rsid w:val="0037795B"/>
    <w:rPr>
      <w:color w:val="CC9900"/>
      <w:u w:val="single"/>
    </w:rPr>
  </w:style>
  <w:style w:type="paragraph" w:styleId="Footer">
    <w:name w:val="footer"/>
    <w:aliases w:val=" Знак"/>
    <w:basedOn w:val="Normal"/>
    <w:link w:val="FooterChar"/>
    <w:rsid w:val="0037795B"/>
    <w:pPr>
      <w:tabs>
        <w:tab w:val="center" w:pos="4680"/>
        <w:tab w:val="right" w:pos="9360"/>
      </w:tabs>
      <w:spacing w:after="0"/>
      <w:jc w:val="left"/>
    </w:pPr>
    <w:rPr>
      <w:rFonts w:ascii="Calibri" w:hAnsi="Calibri"/>
      <w:sz w:val="22"/>
      <w:szCs w:val="22"/>
      <w:lang w:val="en-US"/>
    </w:rPr>
  </w:style>
  <w:style w:type="character" w:customStyle="1" w:styleId="FooterChar">
    <w:name w:val="Footer Char"/>
    <w:aliases w:val=" Знак Char"/>
    <w:basedOn w:val="DefaultParagraphFont"/>
    <w:link w:val="Footer"/>
    <w:rsid w:val="0037795B"/>
    <w:rPr>
      <w:rFonts w:ascii="Calibri" w:eastAsia="Times New Roman" w:hAnsi="Calibri" w:cs="Times New Roman"/>
      <w:lang w:val="en-US"/>
    </w:rPr>
  </w:style>
  <w:style w:type="paragraph" w:styleId="BodyText3">
    <w:name w:val="Body Text 3"/>
    <w:basedOn w:val="Normal"/>
    <w:link w:val="BodyText3Char"/>
    <w:rsid w:val="00E821B8"/>
    <w:pPr>
      <w:spacing w:after="0"/>
    </w:pPr>
    <w:rPr>
      <w:sz w:val="22"/>
      <w:szCs w:val="24"/>
      <w:lang w:val="en-IE"/>
    </w:rPr>
  </w:style>
  <w:style w:type="character" w:customStyle="1" w:styleId="BodyText3Char">
    <w:name w:val="Body Text 3 Char"/>
    <w:basedOn w:val="DefaultParagraphFont"/>
    <w:link w:val="BodyText3"/>
    <w:rsid w:val="00E821B8"/>
    <w:rPr>
      <w:rFonts w:ascii="Times New Roman" w:eastAsia="Times New Roman" w:hAnsi="Times New Roman" w:cs="Times New Roman"/>
      <w:szCs w:val="24"/>
      <w:lang w:val="en-IE"/>
    </w:rPr>
  </w:style>
  <w:style w:type="paragraph" w:styleId="ListParagraph">
    <w:name w:val="List Paragraph"/>
    <w:basedOn w:val="Normal"/>
    <w:uiPriority w:val="34"/>
    <w:qFormat/>
    <w:rsid w:val="00DA5F1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180D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80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0E180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6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ba.org.ua/three/ua/news/announcements/2616-application-form-for-rayons-for-partnership-with-c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A7FED-02C1-41F0-9D59-D2ABBAEB0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3688</Words>
  <Characters>2103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Slabinska</cp:lastModifiedBy>
  <cp:revision>156</cp:revision>
  <dcterms:created xsi:type="dcterms:W3CDTF">2014-09-09T12:46:00Z</dcterms:created>
  <dcterms:modified xsi:type="dcterms:W3CDTF">2014-09-17T14:21:00Z</dcterms:modified>
</cp:coreProperties>
</file>